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会议总结</w:t>
      </w:r>
    </w:p>
    <w:p>
      <w:pPr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由澳门城市大学与国际跨文化沟通研究协会（</w:t>
      </w:r>
      <w:r>
        <w:rPr>
          <w:rFonts w:ascii="Times New Roman" w:hAnsi="Times New Roman" w:eastAsia="宋体" w:cs="Times New Roman"/>
          <w:sz w:val="24"/>
          <w:szCs w:val="24"/>
        </w:rPr>
        <w:t>IAICS）联合主办的第28届国际跨文化沟通研究协会国际会议于2023年3月23日至3月25日在澳门城市大学成功举办。本次会议以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跨文化交际中的融合创新：语言、职业和文化遗产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为主题，包括了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多元文化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语言与文化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语言学的转变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文化教学与跨文化交际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跨文化教育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、和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本土文化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”</w:t>
      </w:r>
      <w:bookmarkStart w:id="0" w:name="_GoBack"/>
      <w:bookmarkEnd w:id="0"/>
      <w:r>
        <w:rPr>
          <w:rFonts w:ascii="Times New Roman" w:hAnsi="Times New Roman" w:eastAsia="宋体" w:cs="Times New Roman"/>
          <w:sz w:val="24"/>
          <w:szCs w:val="24"/>
        </w:rPr>
        <w:t>等分议题。与会学者就多项跨文化相关的议题展开学术交流与讨论。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本次会议聚集了来自世界各地的数百名学者。汕头大学方帆和杨君如两位老师参加了本次会议。其中，方帆老师做了题为“英语媒介教师对中国高等教育文化教学的认识与实践”的演讲；杨君如老师做了题为“采用混合式教学于大学英语课堂培养跨文化意识”的演讲，受到了与会者的关注。两个分会场吸引了众多听众。两位老师在演讲后都跟与会者进行了进一步的讨论与交流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两位老师表示：参加本次会议，通过与全球各地的跨文化研究人员进行交流，有利于进一步提升自身的跨文化意识，了解多文化复杂融合的重要性，也有助于推广本土文化，传播中国声音，传播汕大声音。同时，两位老师也希望今后可以继续延续与跨文化研究相关的科研教学，能有更多机会可以与其他老师分享会议的收获，一起在跨文化领域的继承与创新中“立足本土，走向世界”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3YTZmOTQ5ZDE1Y2RjNTAwZGM0NjcwOWEzOTFkZTkifQ=="/>
  </w:docVars>
  <w:rsids>
    <w:rsidRoot w:val="00A00501"/>
    <w:rsid w:val="0001331F"/>
    <w:rsid w:val="00155547"/>
    <w:rsid w:val="001D71D5"/>
    <w:rsid w:val="00322A64"/>
    <w:rsid w:val="00506640"/>
    <w:rsid w:val="00606582"/>
    <w:rsid w:val="00A00501"/>
    <w:rsid w:val="00B8596B"/>
    <w:rsid w:val="00CB789B"/>
    <w:rsid w:val="00E27A1F"/>
    <w:rsid w:val="472A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528</Words>
  <Characters>538</Characters>
  <Lines>3</Lines>
  <Paragraphs>1</Paragraphs>
  <TotalTime>40</TotalTime>
  <ScaleCrop>false</ScaleCrop>
  <LinksUpToDate>false</LinksUpToDate>
  <CharactersWithSpaces>540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2023-04-01T13:35:00Z</dcterms:created>
  <dc:creator>Reviewer</dc:creator>
  <cp:lastModifiedBy>FF</cp:lastModifiedBy>
  <dcterms:modified xsi:type="dcterms:W3CDTF">2023-04-03T09:54:21Z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AD5E4C68FCF147A294C727A952BCB939</vt:lpwstr>
  </property>
</Properties>
</file>